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F6C2C" w:rsidRPr="00277EE9" w:rsidRDefault="002F6C2C" w:rsidP="002F6C2C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277EE9">
        <w:rPr>
          <w:rFonts w:ascii="Times New Roman" w:eastAsia="Times New Roman" w:hAnsi="Times New Roman" w:cs="Times New Roman"/>
          <w:b/>
          <w:bCs/>
          <w:sz w:val="36"/>
          <w:szCs w:val="36"/>
        </w:rPr>
        <w:t>Supplementary Materials</w:t>
      </w:r>
    </w:p>
    <w:p w:rsidR="002F6C2C" w:rsidRPr="00277EE9" w:rsidRDefault="002F6C2C" w:rsidP="002F6C2C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r w:rsidRPr="00277EE9">
        <w:rPr>
          <w:rFonts w:ascii="Times New Roman" w:eastAsia="Times New Roman" w:hAnsi="Times New Roman" w:cs="Times New Roman"/>
          <w:b/>
          <w:bCs/>
          <w:sz w:val="27"/>
          <w:szCs w:val="27"/>
        </w:rPr>
        <w:t>Table 1: Summary of Neurotrophic Factors and Their Functions in Cognitive Health</w:t>
      </w:r>
    </w:p>
    <w:tbl>
      <w:tblPr>
        <w:tblStyle w:val="GridTable1Light-Accent6"/>
        <w:tblW w:w="0" w:type="auto"/>
        <w:tblLook w:val="04A0" w:firstRow="1" w:lastRow="0" w:firstColumn="1" w:lastColumn="0" w:noHBand="0" w:noVBand="1"/>
      </w:tblPr>
      <w:tblGrid>
        <w:gridCol w:w="1631"/>
        <w:gridCol w:w="1489"/>
        <w:gridCol w:w="3087"/>
        <w:gridCol w:w="3143"/>
      </w:tblGrid>
      <w:tr w:rsidR="002F6C2C" w:rsidRPr="00277EE9" w:rsidTr="00EA27F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2F6C2C" w:rsidRPr="00277EE9" w:rsidRDefault="002F6C2C" w:rsidP="00EA27FC">
            <w:pPr>
              <w:jc w:val="both"/>
              <w:rPr>
                <w:rFonts w:ascii="Times New Roman" w:eastAsia="Times New Roman" w:hAnsi="Times New Roman" w:cs="Times New Roman"/>
                <w:b w:val="0"/>
                <w:bCs w:val="0"/>
                <w:sz w:val="24"/>
                <w:szCs w:val="24"/>
              </w:rPr>
            </w:pPr>
            <w:proofErr w:type="spellStart"/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Neurotrophin</w:t>
            </w:r>
            <w:proofErr w:type="spellEnd"/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Primary Receptor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Key Functions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Relevance to AD</w:t>
            </w:r>
          </w:p>
        </w:tc>
      </w:tr>
      <w:tr w:rsidR="002F6C2C" w:rsidRPr="00277EE9" w:rsidTr="00EA27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2F6C2C" w:rsidRPr="00277EE9" w:rsidRDefault="002F6C2C" w:rsidP="00EA27F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BDNF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TrkB</w:t>
            </w:r>
            <w:proofErr w:type="spellEnd"/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Synaptic plasticity, LTP, dendritic spine formation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Reduced in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the </w:t>
            </w: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AD brain; correlates with cognitive decline</w:t>
            </w:r>
          </w:p>
        </w:tc>
      </w:tr>
      <w:tr w:rsidR="002F6C2C" w:rsidRPr="00277EE9" w:rsidTr="00EA27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2F6C2C" w:rsidRPr="00277EE9" w:rsidRDefault="002F6C2C" w:rsidP="00EA27F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NGF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TrkA</w:t>
            </w:r>
            <w:proofErr w:type="spellEnd"/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Cholinergic neuron support, basal forebrain maintenance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Critical for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the </w:t>
            </w: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cholinergic system affected early in AD</w:t>
            </w:r>
          </w:p>
        </w:tc>
      </w:tr>
      <w:tr w:rsidR="002F6C2C" w:rsidRPr="00277EE9" w:rsidTr="00EA27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2F6C2C" w:rsidRPr="00277EE9" w:rsidRDefault="002F6C2C" w:rsidP="00EA27F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IGF-1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IGF-1R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Neurogenesis, metabolic support, Aβ clearance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Decreased signaling in aging and AD</w:t>
            </w:r>
          </w:p>
        </w:tc>
      </w:tr>
      <w:tr w:rsidR="002F6C2C" w:rsidRPr="00277EE9" w:rsidTr="00EA27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2F6C2C" w:rsidRPr="00277EE9" w:rsidRDefault="002F6C2C" w:rsidP="00EA27F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NT-3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TrkC</w:t>
            </w:r>
            <w:proofErr w:type="spellEnd"/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Neuronal survival, synaptic maturation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Supports neuronal populations vulnerable in AD</w:t>
            </w:r>
          </w:p>
        </w:tc>
      </w:tr>
      <w:tr w:rsidR="002F6C2C" w:rsidRPr="00277EE9" w:rsidTr="00EA27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2F6C2C" w:rsidRPr="00277EE9" w:rsidRDefault="002F6C2C" w:rsidP="00EA27F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NT-4/5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TrkB</w:t>
            </w:r>
            <w:proofErr w:type="spellEnd"/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Similar to BDNF, neuronal survival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Potential compensatory mechanism</w:t>
            </w:r>
          </w:p>
        </w:tc>
      </w:tr>
    </w:tbl>
    <w:p w:rsidR="002F6C2C" w:rsidRPr="00277EE9" w:rsidRDefault="002F6C2C" w:rsidP="002F6C2C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r w:rsidRPr="00277EE9">
        <w:rPr>
          <w:rFonts w:ascii="Times New Roman" w:eastAsia="Times New Roman" w:hAnsi="Times New Roman" w:cs="Times New Roman"/>
          <w:b/>
          <w:bCs/>
          <w:sz w:val="27"/>
          <w:szCs w:val="27"/>
        </w:rPr>
        <w:t>Table 2: AGNI Components and Their Measurable Indicators</w:t>
      </w:r>
    </w:p>
    <w:tbl>
      <w:tblPr>
        <w:tblStyle w:val="GridTable1Light-Accent6"/>
        <w:tblW w:w="0" w:type="auto"/>
        <w:tblLook w:val="04A0" w:firstRow="1" w:lastRow="0" w:firstColumn="1" w:lastColumn="0" w:noHBand="0" w:noVBand="1"/>
      </w:tblPr>
      <w:tblGrid>
        <w:gridCol w:w="1832"/>
        <w:gridCol w:w="2581"/>
        <w:gridCol w:w="2406"/>
        <w:gridCol w:w="2531"/>
      </w:tblGrid>
      <w:tr w:rsidR="002F6C2C" w:rsidRPr="00277EE9" w:rsidTr="00EA27F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2F6C2C" w:rsidRPr="00277EE9" w:rsidRDefault="002F6C2C" w:rsidP="00EA27FC">
            <w:pPr>
              <w:jc w:val="both"/>
              <w:rPr>
                <w:rFonts w:ascii="Times New Roman" w:eastAsia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AGNI Component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Frequency/Mechanism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Measurement Method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Clinical Significance</w:t>
            </w:r>
          </w:p>
        </w:tc>
      </w:tr>
      <w:tr w:rsidR="002F6C2C" w:rsidRPr="00277EE9" w:rsidTr="00EA27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2F6C2C" w:rsidRPr="00277EE9" w:rsidRDefault="002F6C2C" w:rsidP="00EA27F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Gamma Oscillations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30-100 Hz (peak 40 Hz)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EEG, MEG, LFP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Reduced in AD; correlates with cognition</w:t>
            </w:r>
          </w:p>
        </w:tc>
      </w:tr>
      <w:tr w:rsidR="002F6C2C" w:rsidRPr="00277EE9" w:rsidTr="00EA27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2F6C2C" w:rsidRPr="00277EE9" w:rsidRDefault="002F6C2C" w:rsidP="00EA27F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Theta Oscillations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4-8 Hz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EEG, intracranial recordings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Memory encoding; hippocampal integrity</w:t>
            </w:r>
          </w:p>
        </w:tc>
      </w:tr>
      <w:tr w:rsidR="002F6C2C" w:rsidRPr="00277EE9" w:rsidTr="00EA27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2F6C2C" w:rsidRPr="00277EE9" w:rsidRDefault="002F6C2C" w:rsidP="00EA27F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Homeostatic Plasticity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Synaptic scaling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Ex vivo recordings, molecular markers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Network stability; compensation failure</w:t>
            </w:r>
          </w:p>
        </w:tc>
      </w:tr>
      <w:tr w:rsidR="002F6C2C" w:rsidRPr="00277EE9" w:rsidTr="00EA27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2F6C2C" w:rsidRPr="00277EE9" w:rsidRDefault="002F6C2C" w:rsidP="00EA27F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STDP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Millisecond spike timing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Multi-electrode arrays, modeling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Learning mechanisms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synaptic refinement</w:t>
            </w:r>
          </w:p>
        </w:tc>
      </w:tr>
      <w:tr w:rsidR="002F6C2C" w:rsidRPr="00277EE9" w:rsidTr="00EA27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2F6C2C" w:rsidRPr="00277EE9" w:rsidRDefault="002F6C2C" w:rsidP="00EA27F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Slow-Wave Activity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0.5-4 Hz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Sleep EEG, intracranial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Memory consolidation; metabolic clearance</w:t>
            </w:r>
          </w:p>
        </w:tc>
      </w:tr>
    </w:tbl>
    <w:p w:rsidR="002F6C2C" w:rsidRPr="00277EE9" w:rsidRDefault="002F6C2C" w:rsidP="002F6C2C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r w:rsidRPr="00277EE9">
        <w:rPr>
          <w:rFonts w:ascii="Times New Roman" w:eastAsia="Times New Roman" w:hAnsi="Times New Roman" w:cs="Times New Roman"/>
          <w:b/>
          <w:bCs/>
          <w:sz w:val="27"/>
          <w:szCs w:val="27"/>
        </w:rPr>
        <w:t>Table 3: Theoretical Translation Probabilities for AGNI-X Development</w:t>
      </w:r>
    </w:p>
    <w:tbl>
      <w:tblPr>
        <w:tblStyle w:val="GridTable1Light-Accent6"/>
        <w:tblW w:w="0" w:type="auto"/>
        <w:tblLook w:val="04A0" w:firstRow="1" w:lastRow="0" w:firstColumn="1" w:lastColumn="0" w:noHBand="0" w:noVBand="1"/>
      </w:tblPr>
      <w:tblGrid>
        <w:gridCol w:w="1905"/>
        <w:gridCol w:w="1793"/>
        <w:gridCol w:w="2026"/>
        <w:gridCol w:w="3626"/>
      </w:tblGrid>
      <w:tr w:rsidR="002F6C2C" w:rsidRPr="00277EE9" w:rsidTr="00EA27F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2F6C2C" w:rsidRPr="00277EE9" w:rsidRDefault="002F6C2C" w:rsidP="00EA27FC">
            <w:pPr>
              <w:jc w:val="both"/>
              <w:rPr>
                <w:rFonts w:ascii="Times New Roman" w:eastAsia="Times New Roman" w:hAnsi="Times New Roman" w:cs="Times New Roman"/>
                <w:b w:val="0"/>
                <w:bCs w:val="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Success Probability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Cumulative Probability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 w:val="0"/>
                <w:bCs w:val="0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Key Challenges</w:t>
            </w:r>
          </w:p>
        </w:tc>
      </w:tr>
      <w:tr w:rsidR="002F6C2C" w:rsidRPr="00277EE9" w:rsidTr="00EA27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2F6C2C" w:rsidRPr="00277EE9" w:rsidRDefault="002F6C2C" w:rsidP="00EA27F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In Vitro Cellular Studies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10-30%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10-30%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Target validation, cellular model relevance</w:t>
            </w:r>
          </w:p>
        </w:tc>
      </w:tr>
      <w:tr w:rsidR="002F6C2C" w:rsidRPr="00277EE9" w:rsidTr="00EA27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2F6C2C" w:rsidRPr="00277EE9" w:rsidRDefault="002F6C2C" w:rsidP="00EA27F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Animal Model Efficacy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20-40%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2-12%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Species differences, model limitations</w:t>
            </w:r>
          </w:p>
        </w:tc>
      </w:tr>
      <w:tr w:rsidR="002F6C2C" w:rsidRPr="00277EE9" w:rsidTr="00EA27F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:rsidR="002F6C2C" w:rsidRPr="00277EE9" w:rsidRDefault="002F6C2C" w:rsidP="00EA27F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Human Clinical Benefit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10-20%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0.2-2.4%</w:t>
            </w:r>
          </w:p>
        </w:tc>
        <w:tc>
          <w:tcPr>
            <w:tcW w:w="0" w:type="auto"/>
            <w:hideMark/>
          </w:tcPr>
          <w:p w:rsidR="002F6C2C" w:rsidRPr="00277EE9" w:rsidRDefault="002F6C2C" w:rsidP="00EA27FC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Heterogeneity, outcome measures,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and </w:t>
            </w:r>
            <w:r w:rsidRPr="00277EE9">
              <w:rPr>
                <w:rFonts w:ascii="Times New Roman" w:eastAsia="Times New Roman" w:hAnsi="Times New Roman" w:cs="Times New Roman"/>
                <w:sz w:val="24"/>
                <w:szCs w:val="24"/>
              </w:rPr>
              <w:t>BBB penetration</w:t>
            </w:r>
          </w:p>
        </w:tc>
      </w:tr>
    </w:tbl>
    <w:p w:rsidR="002F6C2C" w:rsidRPr="00277EE9" w:rsidRDefault="002F6C2C" w:rsidP="002F6C2C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r w:rsidRPr="00277EE9">
        <w:rPr>
          <w:rFonts w:ascii="Times New Roman" w:eastAsia="Times New Roman" w:hAnsi="Times New Roman" w:cs="Times New Roman"/>
          <w:b/>
          <w:bCs/>
          <w:sz w:val="27"/>
          <w:szCs w:val="27"/>
        </w:rPr>
        <w:t>Figure 1: Conceptual Framework of AGNI Influence on Grey Matter Density</w:t>
      </w:r>
    </w:p>
    <w:p w:rsidR="002F6C2C" w:rsidRPr="00277EE9" w:rsidRDefault="002F6C2C" w:rsidP="002F6C2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6A84820F" wp14:editId="787E57EE">
            <wp:extent cx="5943600" cy="33813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ure 1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8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77EE9">
        <w:rPr>
          <w:rFonts w:ascii="Times New Roman" w:eastAsia="Times New Roman" w:hAnsi="Times New Roman" w:cs="Times New Roman"/>
          <w:b/>
          <w:bCs/>
          <w:sz w:val="24"/>
          <w:szCs w:val="24"/>
        </w:rPr>
        <w:t>Legend:</w:t>
      </w:r>
      <w:r w:rsidRPr="00277EE9">
        <w:rPr>
          <w:rFonts w:ascii="Times New Roman" w:eastAsia="Times New Roman" w:hAnsi="Times New Roman" w:cs="Times New Roman"/>
          <w:sz w:val="24"/>
          <w:szCs w:val="24"/>
        </w:rPr>
        <w:t xml:space="preserve"> The diagram illustrates the proposed relationship where neural activity stimulates neurotrophic factor production, which enhances grey matter density, creating a positive feedback loop. This constructive cycle competes against pathological factors that drive grey matter loss.</w:t>
      </w:r>
    </w:p>
    <w:p w:rsidR="002F6C2C" w:rsidRPr="00277EE9" w:rsidRDefault="002F6C2C" w:rsidP="002F6C2C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r w:rsidRPr="00277EE9">
        <w:rPr>
          <w:rFonts w:ascii="Times New Roman" w:eastAsia="Times New Roman" w:hAnsi="Times New Roman" w:cs="Times New Roman"/>
          <w:b/>
          <w:bCs/>
          <w:sz w:val="27"/>
          <w:szCs w:val="27"/>
        </w:rPr>
        <w:t>Figure 2: Multi-Target Pharmacological Strategy for AGNI-X</w:t>
      </w:r>
    </w:p>
    <w:p w:rsidR="002F6C2C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lastRenderedPageBreak/>
        <w:t xml:space="preserve">                    </w:t>
      </w: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2200478A" wp14:editId="7FC53931">
            <wp:extent cx="5934075" cy="30670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ure 2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6C2C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2F6C2C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77EE9">
        <w:rPr>
          <w:rFonts w:ascii="Times New Roman" w:eastAsia="Times New Roman" w:hAnsi="Times New Roman" w:cs="Times New Roman"/>
          <w:b/>
          <w:bCs/>
          <w:sz w:val="24"/>
          <w:szCs w:val="24"/>
        </w:rPr>
        <w:t>Legend:</w:t>
      </w:r>
      <w:r w:rsidRPr="00277EE9">
        <w:rPr>
          <w:rFonts w:ascii="Times New Roman" w:eastAsia="Times New Roman" w:hAnsi="Times New Roman" w:cs="Times New Roman"/>
          <w:sz w:val="24"/>
          <w:szCs w:val="24"/>
        </w:rPr>
        <w:t xml:space="preserve"> Schematic representation of how a multi-target compound might simultaneously address multiple pathological mechanisms to achieve synergistic neuroprotection.</w:t>
      </w:r>
    </w:p>
    <w:p w:rsidR="002F6C2C" w:rsidRPr="00277EE9" w:rsidRDefault="002F6C2C" w:rsidP="002F6C2C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r w:rsidRPr="00277EE9">
        <w:rPr>
          <w:rFonts w:ascii="Times New Roman" w:eastAsia="Times New Roman" w:hAnsi="Times New Roman" w:cs="Times New Roman"/>
          <w:b/>
          <w:bCs/>
          <w:sz w:val="27"/>
          <w:szCs w:val="27"/>
        </w:rPr>
        <w:t xml:space="preserve">Figure 3: Proposed Grey Matter Dynamics </w:t>
      </w:r>
      <w:proofErr w:type="gramStart"/>
      <w:r w:rsidRPr="00277EE9">
        <w:rPr>
          <w:rFonts w:ascii="Times New Roman" w:eastAsia="Times New Roman" w:hAnsi="Times New Roman" w:cs="Times New Roman"/>
          <w:b/>
          <w:bCs/>
          <w:sz w:val="27"/>
          <w:szCs w:val="27"/>
        </w:rPr>
        <w:t>Over</w:t>
      </w:r>
      <w:proofErr w:type="gramEnd"/>
      <w:r w:rsidRPr="00277EE9">
        <w:rPr>
          <w:rFonts w:ascii="Times New Roman" w:eastAsia="Times New Roman" w:hAnsi="Times New Roman" w:cs="Times New Roman"/>
          <w:b/>
          <w:bCs/>
          <w:sz w:val="27"/>
          <w:szCs w:val="27"/>
        </w:rPr>
        <w:t xml:space="preserve"> Time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>Grey Matter Density (G)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↑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     Normal Aging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  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╱╲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 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╱</w:t>
      </w:r>
      <w:r w:rsidRPr="00277EE9">
        <w:rPr>
          <w:rFonts w:ascii="Courier New" w:eastAsia="Times New Roman" w:hAnsi="Courier New" w:cs="Courier New"/>
          <w:sz w:val="20"/>
          <w:szCs w:val="20"/>
        </w:rPr>
        <w:t xml:space="preserve">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╲</w:t>
      </w:r>
      <w:r w:rsidRPr="00277EE9">
        <w:rPr>
          <w:rFonts w:ascii="Courier New" w:eastAsia="Times New Roman" w:hAnsi="Courier New" w:cs="Courier New"/>
          <w:sz w:val="20"/>
          <w:szCs w:val="20"/>
        </w:rPr>
        <w:t>___________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╱</w:t>
      </w: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          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╲</w:t>
      </w:r>
      <w:r w:rsidRPr="00277EE9">
        <w:rPr>
          <w:rFonts w:ascii="Courier New" w:eastAsia="Times New Roman" w:hAnsi="Courier New" w:cs="Courier New"/>
          <w:sz w:val="20"/>
          <w:szCs w:val="20"/>
        </w:rPr>
        <w:t>___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╱</w:t>
      </w: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               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╲</w:t>
      </w:r>
      <w:r w:rsidRPr="00277EE9">
        <w:rPr>
          <w:rFonts w:ascii="Courier New" w:eastAsia="Times New Roman" w:hAnsi="Courier New" w:cs="Courier New"/>
          <w:sz w:val="20"/>
          <w:szCs w:val="20"/>
        </w:rPr>
        <w:t>___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╱</w:t>
      </w: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                    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╲</w:t>
      </w:r>
      <w:r w:rsidRPr="00277EE9">
        <w:rPr>
          <w:rFonts w:ascii="Courier New" w:eastAsia="Times New Roman" w:hAnsi="Courier New" w:cs="Courier New"/>
          <w:sz w:val="20"/>
          <w:szCs w:val="20"/>
        </w:rPr>
        <w:t>___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                              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╲</w:t>
      </w:r>
      <w:r w:rsidRPr="00277EE9">
        <w:rPr>
          <w:rFonts w:ascii="Courier New" w:eastAsia="Times New Roman" w:hAnsi="Courier New" w:cs="Courier New"/>
          <w:sz w:val="20"/>
          <w:szCs w:val="20"/>
        </w:rPr>
        <w:t>___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├────────────────────────────────────→ Time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     AD Pathology (Untreated)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  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╱╲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 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╱</w:t>
      </w:r>
      <w:r w:rsidRPr="00277EE9">
        <w:rPr>
          <w:rFonts w:ascii="Courier New" w:eastAsia="Times New Roman" w:hAnsi="Courier New" w:cs="Courier New"/>
          <w:sz w:val="20"/>
          <w:szCs w:val="20"/>
        </w:rPr>
        <w:t xml:space="preserve">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╲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╱</w:t>
      </w: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╲</w:t>
      </w:r>
      <w:r w:rsidRPr="00277EE9">
        <w:rPr>
          <w:rFonts w:ascii="Courier New" w:eastAsia="Times New Roman" w:hAnsi="Courier New" w:cs="Courier New"/>
          <w:sz w:val="20"/>
          <w:szCs w:val="20"/>
        </w:rPr>
        <w:t>___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╱</w:t>
      </w: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   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╲</w:t>
      </w:r>
      <w:r w:rsidRPr="00277EE9">
        <w:rPr>
          <w:rFonts w:ascii="Courier New" w:eastAsia="Times New Roman" w:hAnsi="Courier New" w:cs="Courier New"/>
          <w:sz w:val="20"/>
          <w:szCs w:val="20"/>
        </w:rPr>
        <w:t>___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╱</w:t>
      </w: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        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╲</w:t>
      </w:r>
      <w:r w:rsidRPr="00277EE9">
        <w:rPr>
          <w:rFonts w:ascii="Courier New" w:eastAsia="Times New Roman" w:hAnsi="Courier New" w:cs="Courier New"/>
          <w:sz w:val="20"/>
          <w:szCs w:val="20"/>
        </w:rPr>
        <w:t>___________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                         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╲</w:t>
      </w:r>
      <w:r w:rsidRPr="00277EE9">
        <w:rPr>
          <w:rFonts w:ascii="Courier New" w:eastAsia="Times New Roman" w:hAnsi="Courier New" w:cs="Courier New"/>
          <w:sz w:val="20"/>
          <w:szCs w:val="20"/>
        </w:rPr>
        <w:t>________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├────────────────────────────────────→ Time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     Hypothetical AGNI-X Intervention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  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╱╲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 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╱</w:t>
      </w:r>
      <w:r w:rsidRPr="00277EE9">
        <w:rPr>
          <w:rFonts w:ascii="Courier New" w:eastAsia="Times New Roman" w:hAnsi="Courier New" w:cs="Courier New"/>
          <w:sz w:val="20"/>
          <w:szCs w:val="20"/>
        </w:rPr>
        <w:t xml:space="preserve">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╲</w:t>
      </w:r>
      <w:r w:rsidRPr="00277EE9">
        <w:rPr>
          <w:rFonts w:ascii="Courier New" w:eastAsia="Times New Roman" w:hAnsi="Courier New" w:cs="Courier New"/>
          <w:sz w:val="20"/>
          <w:szCs w:val="20"/>
        </w:rPr>
        <w:t>_______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lastRenderedPageBreak/>
        <w:t xml:space="preserve">    │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╱</w:t>
      </w: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     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╲</w:t>
      </w:r>
      <w:r w:rsidRPr="00277EE9">
        <w:rPr>
          <w:rFonts w:ascii="Courier New" w:eastAsia="Times New Roman" w:hAnsi="Courier New" w:cs="Courier New"/>
          <w:sz w:val="20"/>
          <w:szCs w:val="20"/>
        </w:rPr>
        <w:t>_____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╱</w:t>
      </w: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            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╲</w:t>
      </w:r>
      <w:r w:rsidRPr="00277EE9">
        <w:rPr>
          <w:rFonts w:ascii="Courier New" w:eastAsia="Times New Roman" w:hAnsi="Courier New" w:cs="Courier New"/>
          <w:sz w:val="20"/>
          <w:szCs w:val="20"/>
        </w:rPr>
        <w:t>____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╱</w:t>
      </w: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                    </w:t>
      </w:r>
      <w:r w:rsidRPr="00277EE9">
        <w:rPr>
          <w:rFonts w:ascii="MS Gothic" w:eastAsia="MS Gothic" w:hAnsi="MS Gothic" w:cs="MS Gothic" w:hint="eastAsia"/>
          <w:sz w:val="20"/>
          <w:szCs w:val="20"/>
        </w:rPr>
        <w:t>╲</w:t>
      </w:r>
      <w:r w:rsidRPr="00277EE9">
        <w:rPr>
          <w:rFonts w:ascii="Courier New" w:eastAsia="Times New Roman" w:hAnsi="Courier New" w:cs="Courier New"/>
          <w:sz w:val="20"/>
          <w:szCs w:val="20"/>
        </w:rPr>
        <w:t>____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│                              </w:t>
      </w:r>
      <w:r w:rsidRPr="00277EE9">
        <w:rPr>
          <w:rFonts w:ascii="Tahoma" w:eastAsia="Times New Roman" w:hAnsi="Tahoma" w:cs="Tahoma"/>
          <w:sz w:val="20"/>
          <w:szCs w:val="20"/>
        </w:rPr>
        <w:t>�</w:t>
      </w:r>
      <w:r w:rsidRPr="00277EE9">
        <w:rPr>
          <w:rFonts w:ascii="Courier New" w:eastAsia="Times New Roman" w:hAnsi="Courier New" w:cs="Courier New"/>
          <w:sz w:val="20"/>
          <w:szCs w:val="20"/>
        </w:rPr>
        <w:t>\____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└────────────────────────────────────→ Time</w:t>
      </w:r>
    </w:p>
    <w:p w:rsidR="002F6C2C" w:rsidRPr="00277EE9" w:rsidRDefault="002F6C2C" w:rsidP="002F6C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Courier New" w:eastAsia="Times New Roman" w:hAnsi="Courier New" w:cs="Courier New"/>
          <w:sz w:val="20"/>
          <w:szCs w:val="20"/>
        </w:rPr>
      </w:pPr>
      <w:r w:rsidRPr="00277EE9">
        <w:rPr>
          <w:rFonts w:ascii="Courier New" w:eastAsia="Times New Roman" w:hAnsi="Courier New" w:cs="Courier New"/>
          <w:sz w:val="20"/>
          <w:szCs w:val="20"/>
        </w:rPr>
        <w:t xml:space="preserve">         </w:t>
      </w:r>
      <w:proofErr w:type="gramStart"/>
      <w:r w:rsidRPr="00277EE9">
        <w:rPr>
          <w:rFonts w:ascii="Courier New" w:eastAsia="Times New Roman" w:hAnsi="Courier New" w:cs="Courier New"/>
          <w:sz w:val="20"/>
          <w:szCs w:val="20"/>
        </w:rPr>
        <w:t>Youth  Middle</w:t>
      </w:r>
      <w:proofErr w:type="gramEnd"/>
      <w:r w:rsidRPr="00277EE9">
        <w:rPr>
          <w:rFonts w:ascii="Courier New" w:eastAsia="Times New Roman" w:hAnsi="Courier New" w:cs="Courier New"/>
          <w:sz w:val="20"/>
          <w:szCs w:val="20"/>
        </w:rPr>
        <w:t xml:space="preserve"> Age  Elderly</w:t>
      </w:r>
    </w:p>
    <w:p w:rsidR="002F6C2C" w:rsidRPr="00277EE9" w:rsidRDefault="002F6C2C" w:rsidP="002F6C2C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77EE9">
        <w:rPr>
          <w:rFonts w:ascii="Times New Roman" w:eastAsia="Times New Roman" w:hAnsi="Times New Roman" w:cs="Times New Roman"/>
          <w:b/>
          <w:bCs/>
          <w:sz w:val="24"/>
          <w:szCs w:val="24"/>
        </w:rPr>
        <w:t>Legend:</w:t>
      </w:r>
      <w:r w:rsidRPr="00277EE9">
        <w:rPr>
          <w:rFonts w:ascii="Times New Roman" w:eastAsia="Times New Roman" w:hAnsi="Times New Roman" w:cs="Times New Roman"/>
          <w:sz w:val="24"/>
          <w:szCs w:val="24"/>
        </w:rPr>
        <w:t xml:space="preserve"> Conceptual trajectories of grey matter density across lifespan under three scenarios: normal aging, untreated AD pathology, and hypothetical AGNI-X intervention. The intervention scenario shows attenuated decline compared to untreated AD.</w:t>
      </w:r>
    </w:p>
    <w:p w:rsidR="0022363F" w:rsidRDefault="0022363F">
      <w:bookmarkStart w:id="0" w:name="_GoBack"/>
      <w:bookmarkEnd w:id="0"/>
    </w:p>
    <w:sectPr w:rsidR="0022363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6C2C"/>
    <w:rsid w:val="0022363F"/>
    <w:rsid w:val="002F6C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5D7F8E1-D157-45B0-BA9E-AD25A7F7B8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F6C2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GridTable1Light-Accent6">
    <w:name w:val="Grid Table 1 Light Accent 6"/>
    <w:basedOn w:val="TableNormal"/>
    <w:uiPriority w:val="46"/>
    <w:rsid w:val="002F6C2C"/>
    <w:pPr>
      <w:spacing w:after="0" w:line="240" w:lineRule="auto"/>
    </w:pPr>
    <w:tblPr>
      <w:tblStyleRowBandSize w:val="1"/>
      <w:tblStyleColBandSize w:val="1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511</Words>
  <Characters>2914</Characters>
  <Application>Microsoft Office Word</Application>
  <DocSecurity>0</DocSecurity>
  <Lines>24</Lines>
  <Paragraphs>6</Paragraphs>
  <ScaleCrop>false</ScaleCrop>
  <Company/>
  <LinksUpToDate>false</LinksUpToDate>
  <CharactersWithSpaces>3419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1</cp:revision>
  <dcterms:created xsi:type="dcterms:W3CDTF">2025-12-08T09:30:00Z</dcterms:created>
  <dcterms:modified xsi:type="dcterms:W3CDTF">2025-12-08T09:30:00Z</dcterms:modified>
</cp:coreProperties>
</file>